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72E6" w14:textId="77777777" w:rsidR="00DB62E6" w:rsidRPr="003576F4" w:rsidRDefault="00357619" w:rsidP="00DB62E6">
      <w:pPr>
        <w:rPr>
          <w:b/>
          <w:sz w:val="32"/>
          <w:szCs w:val="32"/>
        </w:rPr>
      </w:pPr>
      <w:r w:rsidRPr="003576F4">
        <w:rPr>
          <w:b/>
          <w:sz w:val="32"/>
          <w:szCs w:val="32"/>
        </w:rPr>
        <w:t>SGLT2</w:t>
      </w:r>
      <w:r w:rsidR="00DB62E6" w:rsidRPr="003576F4">
        <w:rPr>
          <w:b/>
          <w:sz w:val="32"/>
          <w:szCs w:val="32"/>
        </w:rPr>
        <w:t>억제제의 안전한 사용에 대한 대한당뇨병학회 성명서</w:t>
      </w:r>
    </w:p>
    <w:p w14:paraId="151BD52C" w14:textId="77777777" w:rsidR="00DB62E6" w:rsidRPr="00DB62E6" w:rsidRDefault="00DB62E6" w:rsidP="00DB62E6">
      <w:pPr>
        <w:rPr>
          <w:b/>
        </w:rPr>
      </w:pPr>
    </w:p>
    <w:p w14:paraId="67CDB6F3" w14:textId="1A96EF8A" w:rsidR="00DB62E6" w:rsidRPr="00DB62E6" w:rsidRDefault="00357619" w:rsidP="00DB62E6">
      <w:r>
        <w:t>SGLT2</w:t>
      </w:r>
      <w:r w:rsidR="00DB62E6" w:rsidRPr="00DB62E6">
        <w:t xml:space="preserve">억제제는 2형당뇨병 치료제로, 최근 대규모 임상 연구에서 심혈관 질환, 심부전에 대한 이득 및 신장 보호 효과를 입증하였으며, 다양한 2형당뇨병 치료에 대한 임상 진료지침에서 </w:t>
      </w:r>
      <w:r>
        <w:t>SGLT2</w:t>
      </w:r>
      <w:r w:rsidR="00DB62E6" w:rsidRPr="00DB62E6">
        <w:t>억제제 사용에 대한 권고 수준이 높아지고 있습니다. 그</w:t>
      </w:r>
      <w:r w:rsidR="004E2ED1">
        <w:rPr>
          <w:rFonts w:hint="eastAsia"/>
        </w:rPr>
        <w:t xml:space="preserve"> </w:t>
      </w:r>
      <w:r w:rsidR="00DB62E6" w:rsidRPr="00DB62E6">
        <w:t xml:space="preserve">뿐만 아니라 2형당뇨병을 동반하지 않은 신부전이나 심부전 환자에서도 치료를 위해 처방이 가능해지면서 최근 처방이 증가하고 있습니다. 그러나 </w:t>
      </w:r>
      <w:r>
        <w:t>SGLT2</w:t>
      </w:r>
      <w:r w:rsidR="00DB62E6" w:rsidRPr="00DB62E6">
        <w:t>억제제 치료는 생식기 감염의 위험을 증가시키고, 드</w:t>
      </w:r>
      <w:r w:rsidR="00DB62E6" w:rsidRPr="00DB62E6">
        <w:rPr>
          <w:rFonts w:hint="eastAsia"/>
        </w:rPr>
        <w:t>물지만</w:t>
      </w:r>
      <w:r w:rsidR="00DB62E6" w:rsidRPr="00DB62E6">
        <w:t xml:space="preserve"> 심각한 합병증인 </w:t>
      </w:r>
      <w:proofErr w:type="spellStart"/>
      <w:r w:rsidR="00DB62E6" w:rsidRPr="00DB62E6">
        <w:t>당뇨병케</w:t>
      </w:r>
      <w:r w:rsidR="00DC0CA1">
        <w:rPr>
          <w:rFonts w:hint="eastAsia"/>
        </w:rPr>
        <w:t>토</w:t>
      </w:r>
      <w:r w:rsidR="00DB62E6" w:rsidRPr="00DB62E6">
        <w:t>산증</w:t>
      </w:r>
      <w:proofErr w:type="spellEnd"/>
      <w:r w:rsidR="00DB62E6" w:rsidRPr="00DB62E6">
        <w:t xml:space="preserve">, 회음 </w:t>
      </w:r>
      <w:proofErr w:type="spellStart"/>
      <w:r w:rsidR="00DB62E6" w:rsidRPr="00DB62E6">
        <w:t>괴저</w:t>
      </w:r>
      <w:proofErr w:type="spellEnd"/>
      <w:r w:rsidR="00DB62E6" w:rsidRPr="00DB62E6">
        <w:t>(Fournier gangrene) 등을 유발할 수 있으므로 신중한 처방과 안전한 사용이 필요합니다.</w:t>
      </w:r>
    </w:p>
    <w:p w14:paraId="59F06A6F" w14:textId="77777777" w:rsidR="00DB62E6" w:rsidRPr="00DC0CA1" w:rsidRDefault="00DB62E6" w:rsidP="00DB62E6"/>
    <w:p w14:paraId="772FFC36" w14:textId="77777777" w:rsidR="00DB62E6" w:rsidRPr="00DB62E6" w:rsidRDefault="00DB62E6" w:rsidP="00DB62E6">
      <w:r w:rsidRPr="00DB62E6">
        <w:rPr>
          <w:rFonts w:hint="eastAsia"/>
        </w:rPr>
        <w:t>이에</w:t>
      </w:r>
      <w:r w:rsidRPr="00DB62E6">
        <w:t xml:space="preserve"> 당뇨병 전문가로 구성된 </w:t>
      </w:r>
      <w:proofErr w:type="spellStart"/>
      <w:r w:rsidRPr="00DB62E6">
        <w:t>대한당뇨병학회는</w:t>
      </w:r>
      <w:proofErr w:type="spellEnd"/>
      <w:r w:rsidRPr="00DB62E6">
        <w:t xml:space="preserve"> </w:t>
      </w:r>
      <w:r w:rsidR="00357619">
        <w:t>SGLT2</w:t>
      </w:r>
      <w:r w:rsidRPr="00DB62E6">
        <w:t xml:space="preserve">억제제의 부작용을 정확히 명시하고, 의료진이 </w:t>
      </w:r>
      <w:r w:rsidR="00357619">
        <w:t>SGLT2</w:t>
      </w:r>
      <w:r w:rsidRPr="00DB62E6">
        <w:t>억제제를 처방할 때 주의를 기울여 안전하게 사용할 수 있도록 하기 위해 본 성명을 발표합니다.</w:t>
      </w:r>
    </w:p>
    <w:p w14:paraId="06EBA64C" w14:textId="77777777" w:rsidR="00DB62E6" w:rsidRPr="00DB62E6" w:rsidRDefault="00DB62E6" w:rsidP="00DB62E6"/>
    <w:p w14:paraId="19575CB2" w14:textId="77777777" w:rsidR="00DB62E6" w:rsidRPr="00DB62E6" w:rsidRDefault="00DB62E6" w:rsidP="00DB62E6">
      <w:pPr>
        <w:rPr>
          <w:b/>
        </w:rPr>
      </w:pPr>
      <w:r w:rsidRPr="00DB62E6">
        <w:rPr>
          <w:b/>
        </w:rPr>
        <w:t>1. 생식기 감염과 요로 감염</w:t>
      </w:r>
    </w:p>
    <w:p w14:paraId="478BDD26" w14:textId="77777777" w:rsidR="00DB62E6" w:rsidRPr="00DB62E6" w:rsidRDefault="00357619" w:rsidP="00DB62E6">
      <w:r>
        <w:t>SGLT2</w:t>
      </w:r>
      <w:r w:rsidR="00DB62E6" w:rsidRPr="00DB62E6">
        <w:t xml:space="preserve">억제제 치료는 생식기 감염, 특히 진균 감염(주로 </w:t>
      </w:r>
      <w:proofErr w:type="spellStart"/>
      <w:r w:rsidR="00DB62E6" w:rsidRPr="00DB62E6">
        <w:t>칸디다</w:t>
      </w:r>
      <w:proofErr w:type="spellEnd"/>
      <w:r w:rsidR="00DB62E6" w:rsidRPr="00DB62E6">
        <w:t xml:space="preserve"> 종 감염)의 위험 증가와 관련이 있으며, 약 3-5배 정도 그 위험이 증가한다고 알려져 있습니다. 따라서 과거에 생식기 진균 감염 병력이 있고 치료를 받은 적이 있는 환자에게는 </w:t>
      </w:r>
      <w:proofErr w:type="spellStart"/>
      <w:r w:rsidR="00DB62E6" w:rsidRPr="00DB62E6">
        <w:t>회음부</w:t>
      </w:r>
      <w:proofErr w:type="spellEnd"/>
      <w:r w:rsidR="00DB62E6" w:rsidRPr="00DB62E6">
        <w:t xml:space="preserve"> 위생에 대한 교육이 필요합니다. 경미한 감염이 있는 환자, 치료에 잘 반응하는 환자의 경우에는 </w:t>
      </w:r>
      <w:r>
        <w:t>SGLT2</w:t>
      </w:r>
      <w:r w:rsidR="00DB62E6" w:rsidRPr="00DB62E6">
        <w:t>억제제를 유지할 수 있으나, 중증 감염이 있는 경우에는 일시적으로 중단을 고려하며, 이후 치료를 재개</w:t>
      </w:r>
      <w:r w:rsidR="00DB62E6" w:rsidRPr="00DB62E6">
        <w:rPr>
          <w:rFonts w:hint="eastAsia"/>
        </w:rPr>
        <w:t>할</w:t>
      </w:r>
      <w:r w:rsidR="00DB62E6" w:rsidRPr="00DB62E6">
        <w:t xml:space="preserve"> 수 있습니다. 또한 드물지만 </w:t>
      </w:r>
      <w:r>
        <w:t>SGLT2</w:t>
      </w:r>
      <w:r w:rsidR="00DB62E6" w:rsidRPr="00DB62E6">
        <w:t xml:space="preserve">억제제 치료가 회음 </w:t>
      </w:r>
      <w:proofErr w:type="spellStart"/>
      <w:r w:rsidR="00DB62E6" w:rsidRPr="00DB62E6">
        <w:t>괴저</w:t>
      </w:r>
      <w:proofErr w:type="spellEnd"/>
      <w:r w:rsidR="00DB62E6" w:rsidRPr="00DB62E6">
        <w:t xml:space="preserve">(Fournier gangrene)를 유발할 수 있다는 보고가 있습니다. 회음 </w:t>
      </w:r>
      <w:proofErr w:type="spellStart"/>
      <w:r w:rsidR="00DB62E6" w:rsidRPr="00DB62E6">
        <w:t>괴저는</w:t>
      </w:r>
      <w:proofErr w:type="spellEnd"/>
      <w:r w:rsidR="00DB62E6" w:rsidRPr="00DB62E6">
        <w:t xml:space="preserve"> 드물지만 환자가 사망할 수도 있는 심각한 합병증이므로 조기에 진단하고, 광범위 항생제를 빠르게 사용하는 것이 중요합니다. 음낭과 항문 주위에 </w:t>
      </w:r>
      <w:proofErr w:type="spellStart"/>
      <w:r w:rsidR="00DB62E6" w:rsidRPr="00DB62E6">
        <w:t>압통과</w:t>
      </w:r>
      <w:proofErr w:type="spellEnd"/>
      <w:r w:rsidR="00DB62E6" w:rsidRPr="00DB62E6">
        <w:t xml:space="preserve"> 발적이 발생할 경우 회음 </w:t>
      </w:r>
      <w:proofErr w:type="spellStart"/>
      <w:r w:rsidR="00DB62E6" w:rsidRPr="00DB62E6">
        <w:t>괴저의</w:t>
      </w:r>
      <w:proofErr w:type="spellEnd"/>
      <w:r w:rsidR="00DB62E6" w:rsidRPr="00DB62E6">
        <w:t xml:space="preserve"> 가능성도 염두에 두어야 합니다. </w:t>
      </w:r>
      <w:r>
        <w:t>SGLT2</w:t>
      </w:r>
      <w:r w:rsidR="00DB62E6" w:rsidRPr="00DB62E6">
        <w:t xml:space="preserve">억제제 치료가 요로 감염 증가와 관련이 있다는 확실한 근거는 부족하지만, 급성 </w:t>
      </w:r>
      <w:proofErr w:type="spellStart"/>
      <w:r w:rsidR="00DB62E6" w:rsidRPr="00DB62E6">
        <w:t>신우</w:t>
      </w:r>
      <w:r w:rsidR="00DB62E6" w:rsidRPr="00DB62E6">
        <w:rPr>
          <w:rFonts w:hint="eastAsia"/>
        </w:rPr>
        <w:t>신염</w:t>
      </w:r>
      <w:proofErr w:type="spellEnd"/>
      <w:r w:rsidR="00DB62E6" w:rsidRPr="00DB62E6">
        <w:t xml:space="preserve"> 또는 요독증 치료 중에는 </w:t>
      </w:r>
      <w:r>
        <w:t>SGLT2</w:t>
      </w:r>
      <w:r w:rsidR="00DB62E6" w:rsidRPr="00DB62E6">
        <w:t>억제제를 일시적으로 중단할 것을 권고합니다.</w:t>
      </w:r>
    </w:p>
    <w:p w14:paraId="5BAFD564" w14:textId="77777777" w:rsidR="00DB62E6" w:rsidRPr="00DB62E6" w:rsidRDefault="00DB62E6" w:rsidP="00DB62E6"/>
    <w:p w14:paraId="039A4E53" w14:textId="77777777" w:rsidR="00DB62E6" w:rsidRPr="00DB62E6" w:rsidRDefault="00DB62E6" w:rsidP="00DB62E6">
      <w:pPr>
        <w:rPr>
          <w:b/>
        </w:rPr>
      </w:pPr>
      <w:r w:rsidRPr="00DB62E6">
        <w:rPr>
          <w:b/>
        </w:rPr>
        <w:t xml:space="preserve">2. 탈수와 </w:t>
      </w:r>
      <w:proofErr w:type="spellStart"/>
      <w:r w:rsidRPr="00DB62E6">
        <w:rPr>
          <w:b/>
        </w:rPr>
        <w:t>당뇨병케</w:t>
      </w:r>
      <w:r w:rsidR="00A10F66">
        <w:rPr>
          <w:rFonts w:hint="eastAsia"/>
          <w:b/>
        </w:rPr>
        <w:t>토</w:t>
      </w:r>
      <w:r w:rsidRPr="00DB62E6">
        <w:rPr>
          <w:b/>
        </w:rPr>
        <w:t>산증</w:t>
      </w:r>
      <w:proofErr w:type="spellEnd"/>
    </w:p>
    <w:p w14:paraId="51BB7655" w14:textId="77777777" w:rsidR="00DB62E6" w:rsidRDefault="00357619" w:rsidP="00DB62E6">
      <w:r>
        <w:t>SGLT2</w:t>
      </w:r>
      <w:r w:rsidR="00DB62E6" w:rsidRPr="00DB62E6">
        <w:t xml:space="preserve">억제제는 약물의 기전상 체내의 포도당과 수분 배출을 촉진하므로 심각한 탈수의 위험이 있는 환자에게 사용 시 신중히 투여해야 합니다. 특히 이뇨제를 복용 중인 환자에서는 사용에 주의가 필요합니다. 또한, 드물지만 인슐린 분비 능력이 현저히 저하된 환자(1형당뇨병, 유병 기간이 </w:t>
      </w:r>
      <w:r w:rsidR="00DB62E6" w:rsidRPr="00DB62E6">
        <w:lastRenderedPageBreak/>
        <w:t>긴 2형당뇨병</w:t>
      </w:r>
      <w:r w:rsidR="00C16A70">
        <w:rPr>
          <w:rFonts w:hint="eastAsia"/>
        </w:rPr>
        <w:t xml:space="preserve"> </w:t>
      </w:r>
      <w:r w:rsidR="00DB62E6" w:rsidRPr="00DB62E6">
        <w:t xml:space="preserve">등)에게 사용 시 </w:t>
      </w:r>
      <w:proofErr w:type="spellStart"/>
      <w:r w:rsidR="00DB62E6" w:rsidRPr="00DB62E6">
        <w:t>당뇨병케</w:t>
      </w:r>
      <w:r w:rsidR="00A10F66">
        <w:rPr>
          <w:rFonts w:hint="eastAsia"/>
        </w:rPr>
        <w:t>토</w:t>
      </w:r>
      <w:r w:rsidR="00DB62E6" w:rsidRPr="00DB62E6">
        <w:t>산증의</w:t>
      </w:r>
      <w:proofErr w:type="spellEnd"/>
      <w:r w:rsidR="00DB62E6" w:rsidRPr="00DB62E6">
        <w:t xml:space="preserve"> 발생 위험이 있으므로 각별한 주의가 요구됩니다. </w:t>
      </w:r>
      <w:r>
        <w:t>SGLT2</w:t>
      </w:r>
      <w:r w:rsidR="00DB62E6" w:rsidRPr="00DB62E6">
        <w:t xml:space="preserve">억제제와 관련된 </w:t>
      </w:r>
      <w:proofErr w:type="spellStart"/>
      <w:r w:rsidR="00DB62E6" w:rsidRPr="00DB62E6">
        <w:t>당뇨병케</w:t>
      </w:r>
      <w:r w:rsidR="00A10F66">
        <w:rPr>
          <w:rFonts w:hint="eastAsia"/>
        </w:rPr>
        <w:t>토</w:t>
      </w:r>
      <w:r w:rsidR="00DB62E6" w:rsidRPr="00DB62E6">
        <w:t>산증은</w:t>
      </w:r>
      <w:proofErr w:type="spellEnd"/>
      <w:r w:rsidR="00DB62E6" w:rsidRPr="00DB62E6">
        <w:t xml:space="preserve"> 고혈당을 동반하</w:t>
      </w:r>
      <w:r w:rsidR="00DB62E6" w:rsidRPr="00DB62E6">
        <w:rPr>
          <w:rFonts w:hint="eastAsia"/>
        </w:rPr>
        <w:t>지</w:t>
      </w:r>
      <w:r w:rsidR="00DB62E6" w:rsidRPr="00DB62E6">
        <w:t xml:space="preserve"> 않는 경우</w:t>
      </w:r>
      <w:r w:rsidR="00AB350C">
        <w:rPr>
          <w:rFonts w:hint="eastAsia"/>
        </w:rPr>
        <w:t>,</w:t>
      </w:r>
      <w:r w:rsidR="004A2BF4">
        <w:rPr>
          <w:rFonts w:hint="eastAsia"/>
        </w:rPr>
        <w:t xml:space="preserve"> 즉 </w:t>
      </w:r>
      <w:proofErr w:type="spellStart"/>
      <w:r w:rsidR="00687607" w:rsidRPr="00687607">
        <w:rPr>
          <w:rFonts w:hint="eastAsia"/>
        </w:rPr>
        <w:t>정상혈당당뇨병케토산증</w:t>
      </w:r>
      <w:proofErr w:type="spellEnd"/>
      <w:r w:rsidR="004A2BF4">
        <w:rPr>
          <w:rFonts w:hint="eastAsia"/>
        </w:rPr>
        <w:t>(e</w:t>
      </w:r>
      <w:r w:rsidR="00A10F66">
        <w:t>uglycemic diabetic ketoacidosis)</w:t>
      </w:r>
      <w:r w:rsidR="00DB62E6" w:rsidRPr="00DB62E6">
        <w:t xml:space="preserve">도 많아 진단이 어려울 수 있습니다. 따라서 환자의 임상 증상에 따라 필요 시 </w:t>
      </w:r>
      <w:proofErr w:type="spellStart"/>
      <w:r w:rsidR="00DB62E6" w:rsidRPr="00DB62E6">
        <w:t>케톤체를</w:t>
      </w:r>
      <w:proofErr w:type="spellEnd"/>
      <w:r w:rsidR="00DB62E6" w:rsidRPr="00DB62E6">
        <w:t xml:space="preserve"> 확인해야 할 수 있습니다. 음식 섭취가 어려운 상황, 과도한 음주, 급성 질환, 외상, 수술 등이 동반될 경우 </w:t>
      </w:r>
      <w:proofErr w:type="spellStart"/>
      <w:r w:rsidR="00DB62E6" w:rsidRPr="00DB62E6">
        <w:t>케</w:t>
      </w:r>
      <w:r w:rsidR="00A10F66">
        <w:rPr>
          <w:rFonts w:hint="eastAsia"/>
        </w:rPr>
        <w:t>토</w:t>
      </w:r>
      <w:r w:rsidR="00DB62E6" w:rsidRPr="00DB62E6">
        <w:t>산증</w:t>
      </w:r>
      <w:proofErr w:type="spellEnd"/>
      <w:r w:rsidR="00DB62E6" w:rsidRPr="00DB62E6">
        <w:t xml:space="preserve"> 발생 위험이 증가할 수 있으므로, 이러한 상황에서 </w:t>
      </w:r>
      <w:r>
        <w:t>SGLT2</w:t>
      </w:r>
      <w:r w:rsidR="00DB62E6" w:rsidRPr="00DB62E6">
        <w:t>억제제 사용을 일시적으로 중단하고 추후 치료를 재개할 수 있습니다.</w:t>
      </w:r>
    </w:p>
    <w:p w14:paraId="1FB76CDA" w14:textId="77777777" w:rsidR="00DC6093" w:rsidRDefault="00DC6093" w:rsidP="00DB62E6"/>
    <w:p w14:paraId="5AD7B618" w14:textId="77777777" w:rsidR="00DC6093" w:rsidRPr="00DC6093" w:rsidRDefault="00DC6093" w:rsidP="00DB62E6">
      <w:pPr>
        <w:rPr>
          <w:b/>
        </w:rPr>
      </w:pPr>
      <w:r w:rsidRPr="00DC6093">
        <w:rPr>
          <w:rFonts w:hint="eastAsia"/>
          <w:b/>
        </w:rPr>
        <w:t>3</w:t>
      </w:r>
      <w:r w:rsidRPr="00DC6093">
        <w:rPr>
          <w:b/>
        </w:rPr>
        <w:t xml:space="preserve">. </w:t>
      </w:r>
      <w:r w:rsidRPr="00DC6093">
        <w:rPr>
          <w:rFonts w:hint="eastAsia"/>
          <w:b/>
        </w:rPr>
        <w:t>과도한</w:t>
      </w:r>
      <w:r w:rsidRPr="00DC6093">
        <w:rPr>
          <w:b/>
        </w:rPr>
        <w:t xml:space="preserve"> 체중감소와 근감소증</w:t>
      </w:r>
    </w:p>
    <w:p w14:paraId="20719AD3" w14:textId="21B9A0BD" w:rsidR="00DB62E6" w:rsidRDefault="00DC6093" w:rsidP="00DC6093">
      <w:r>
        <w:t>SGLT2억제제 치료는 대상</w:t>
      </w:r>
      <w:r w:rsidR="00392EE6">
        <w:rPr>
          <w:rFonts w:hint="eastAsia"/>
        </w:rPr>
        <w:t xml:space="preserve"> </w:t>
      </w:r>
      <w:r>
        <w:t>환자에 따라</w:t>
      </w:r>
      <w:r w:rsidR="00392EE6">
        <w:rPr>
          <w:rFonts w:hint="eastAsia"/>
        </w:rPr>
        <w:t xml:space="preserve"> 다를 수 있지만 일반적으로</w:t>
      </w:r>
      <w:r>
        <w:t xml:space="preserve"> 약 2-3 kg 정도의 체중감소</w:t>
      </w:r>
      <w:r w:rsidR="00392EE6">
        <w:rPr>
          <w:rFonts w:hint="eastAsia"/>
        </w:rPr>
        <w:t xml:space="preserve"> 효과</w:t>
      </w:r>
      <w:r>
        <w:t>를 보였</w:t>
      </w:r>
      <w:r w:rsidR="00392EE6">
        <w:rPr>
          <w:rFonts w:hint="eastAsia"/>
        </w:rPr>
        <w:t>습니다</w:t>
      </w:r>
      <w:r>
        <w:t>.</w:t>
      </w:r>
      <w:r w:rsidR="00392EE6">
        <w:t xml:space="preserve"> </w:t>
      </w:r>
      <w:r w:rsidR="005A3B6F" w:rsidRPr="005A3B6F">
        <w:t>마른 고령 당뇨병 환자에서</w:t>
      </w:r>
      <w:r w:rsidR="00392EE6">
        <w:rPr>
          <w:rFonts w:hint="eastAsia"/>
        </w:rPr>
        <w:t>의 사용은 주의가 필요한데,</w:t>
      </w:r>
      <w:r w:rsidR="00392EE6">
        <w:t xml:space="preserve"> </w:t>
      </w:r>
      <w:r w:rsidR="00392EE6">
        <w:rPr>
          <w:rFonts w:hint="eastAsia"/>
        </w:rPr>
        <w:t xml:space="preserve">이러한 환자에서 </w:t>
      </w:r>
      <w:r w:rsidR="00357619">
        <w:t>SGLT2</w:t>
      </w:r>
      <w:r w:rsidR="005A3B6F" w:rsidRPr="005A3B6F">
        <w:t>억제제 치료</w:t>
      </w:r>
      <w:r w:rsidR="00392EE6">
        <w:rPr>
          <w:rFonts w:hint="eastAsia"/>
        </w:rPr>
        <w:t xml:space="preserve"> 시 </w:t>
      </w:r>
      <w:r w:rsidR="005A3B6F" w:rsidRPr="005A3B6F">
        <w:t>근감소증과 과도한 체중감소 사례가 보고</w:t>
      </w:r>
      <w:r w:rsidR="00392EE6">
        <w:rPr>
          <w:rFonts w:hint="eastAsia"/>
        </w:rPr>
        <w:t>된 바 있습니다</w:t>
      </w:r>
      <w:r w:rsidR="005A3B6F" w:rsidRPr="005A3B6F">
        <w:t xml:space="preserve">. </w:t>
      </w:r>
      <w:r w:rsidR="00357619">
        <w:t>SGLT2</w:t>
      </w:r>
      <w:r>
        <w:t xml:space="preserve">억제제의 작용 기전상 </w:t>
      </w:r>
      <w:r w:rsidR="008A410C">
        <w:rPr>
          <w:rFonts w:hint="eastAsia"/>
        </w:rPr>
        <w:t>체중감소와 더불어 근감소증을 유발할 수 있는데,</w:t>
      </w:r>
      <w:r w:rsidR="008A410C">
        <w:t xml:space="preserve"> </w:t>
      </w:r>
      <w:proofErr w:type="spellStart"/>
      <w:r>
        <w:t>글루카곤</w:t>
      </w:r>
      <w:proofErr w:type="spellEnd"/>
      <w:r>
        <w:t xml:space="preserve"> 분비를 강화해 근육 단백질 분해를 촉진하고 이에 따른 근감소증이 나타날 수 </w:t>
      </w:r>
      <w:r w:rsidR="00392EE6">
        <w:rPr>
          <w:rFonts w:hint="eastAsia"/>
        </w:rPr>
        <w:t>있습니</w:t>
      </w:r>
      <w:r>
        <w:t xml:space="preserve">다. </w:t>
      </w:r>
      <w:r w:rsidR="006952D3">
        <w:rPr>
          <w:rFonts w:hint="eastAsia"/>
        </w:rPr>
        <w:t>따라서</w:t>
      </w:r>
      <w:r>
        <w:t xml:space="preserve"> 노인에서 근감소증이 있거나 체질량지수가 정상범위보다 낮은 당뇨병 환자라면 </w:t>
      </w:r>
      <w:r w:rsidR="00357619">
        <w:t>SGLT2</w:t>
      </w:r>
      <w:r>
        <w:t xml:space="preserve">억제제 복용에 조심해야 </w:t>
      </w:r>
      <w:r w:rsidR="00392EE6">
        <w:rPr>
          <w:rFonts w:hint="eastAsia"/>
        </w:rPr>
        <w:t>합니</w:t>
      </w:r>
      <w:r>
        <w:t xml:space="preserve">다. 의료진은 </w:t>
      </w:r>
      <w:r w:rsidR="00357619">
        <w:t>SGLT2</w:t>
      </w:r>
      <w:r>
        <w:t xml:space="preserve">억제제 처방 시 근감소증이 있는지 확인하고, </w:t>
      </w:r>
      <w:proofErr w:type="spellStart"/>
      <w:r>
        <w:t>근육량을</w:t>
      </w:r>
      <w:proofErr w:type="spellEnd"/>
      <w:r>
        <w:t xml:space="preserve"> 유지할 수 있는 운동요법을 권하고, 체중 변화를 잘 감시하는 것이 필요</w:t>
      </w:r>
      <w:r w:rsidR="00392EE6">
        <w:rPr>
          <w:rFonts w:hint="eastAsia"/>
        </w:rPr>
        <w:t>합니다</w:t>
      </w:r>
      <w:r>
        <w:t>.</w:t>
      </w:r>
    </w:p>
    <w:p w14:paraId="414D5DE7" w14:textId="77777777" w:rsidR="00DC6093" w:rsidRPr="00DB62E6" w:rsidRDefault="00DC6093" w:rsidP="00DC6093"/>
    <w:p w14:paraId="50184B2C" w14:textId="77777777" w:rsidR="00DB62E6" w:rsidRPr="00DB62E6" w:rsidRDefault="00DC6093" w:rsidP="00DB62E6">
      <w:pPr>
        <w:rPr>
          <w:b/>
        </w:rPr>
      </w:pPr>
      <w:r>
        <w:rPr>
          <w:b/>
        </w:rPr>
        <w:t>4</w:t>
      </w:r>
      <w:r w:rsidR="00DB62E6" w:rsidRPr="00DB62E6">
        <w:rPr>
          <w:b/>
        </w:rPr>
        <w:t>. 노인 2형당뇨병 환자에서의 사용</w:t>
      </w:r>
    </w:p>
    <w:p w14:paraId="4F08B22C" w14:textId="77777777" w:rsidR="00DB62E6" w:rsidRPr="00DB62E6" w:rsidRDefault="00DB62E6" w:rsidP="00DB62E6">
      <w:r w:rsidRPr="00DB62E6">
        <w:rPr>
          <w:rFonts w:hint="eastAsia"/>
        </w:rPr>
        <w:t>노인</w:t>
      </w:r>
      <w:r w:rsidRPr="00DB62E6">
        <w:t xml:space="preserve"> 2형당뇨병 환자에서 </w:t>
      </w:r>
      <w:r w:rsidR="00357619">
        <w:t>SGLT2</w:t>
      </w:r>
      <w:r w:rsidRPr="00DB62E6">
        <w:t xml:space="preserve">억제제 치료의 이득과 효능은 유사하나, 적응증에 따른 치료 시 나이가 비뇨생식기 감염의 위험 요인으로 작용할 수 있으므로 주의가 필요합니다. 노인에서 비뇨생식기 감염은 비정형적으로 발현하므로 진단이 어려울 수 있으며, 급성 질환이 동반된 경우 음식 및 수분 섭취가 젊은 환자에 비해 감소할 수 있어 체액 고갈의 위험이 증가하고, 저혈압이 </w:t>
      </w:r>
      <w:r w:rsidR="00357619">
        <w:rPr>
          <w:rFonts w:hint="eastAsia"/>
        </w:rPr>
        <w:t>발생할 수 있습니다</w:t>
      </w:r>
      <w:r w:rsidRPr="00DB62E6">
        <w:t xml:space="preserve">. 따라서 노인 환자에게 </w:t>
      </w:r>
      <w:r w:rsidR="00357619">
        <w:t>SGLT2</w:t>
      </w:r>
      <w:r w:rsidRPr="00DB62E6">
        <w:t xml:space="preserve">억제제를 처방할 때는 보다 주의 </w:t>
      </w:r>
      <w:r w:rsidRPr="00DB62E6">
        <w:rPr>
          <w:rFonts w:hint="eastAsia"/>
        </w:rPr>
        <w:t>깊은</w:t>
      </w:r>
      <w:r w:rsidRPr="00DB62E6">
        <w:t xml:space="preserve"> 모니터링이 필요합니다.</w:t>
      </w:r>
    </w:p>
    <w:p w14:paraId="1BA81E00" w14:textId="77777777" w:rsidR="00DB62E6" w:rsidRPr="004E2ED1" w:rsidRDefault="00DB62E6" w:rsidP="00DB62E6"/>
    <w:p w14:paraId="1B939B94" w14:textId="77777777" w:rsidR="00DB62E6" w:rsidRDefault="00DB62E6" w:rsidP="00DB62E6">
      <w:proofErr w:type="spellStart"/>
      <w:r w:rsidRPr="00DB62E6">
        <w:rPr>
          <w:rFonts w:hint="eastAsia"/>
        </w:rPr>
        <w:t>대한당뇨병학회는</w:t>
      </w:r>
      <w:proofErr w:type="spellEnd"/>
      <w:r w:rsidRPr="00DB62E6">
        <w:t xml:space="preserve"> 의료진이 </w:t>
      </w:r>
      <w:r w:rsidR="00357619">
        <w:t>SGLT2</w:t>
      </w:r>
      <w:r w:rsidRPr="00DB62E6">
        <w:t>억제제에 대해 올바르게 이해하고, 이 약제가 안전하고 효과적으로 사용될 수 있도록 최선을 다할 것입니다. 약제의 효능도 중요하지만, 이를 효과적이고 안전하게 사용하는 접근이 무엇보다 중요하다는 점을 강조하며, 본 성명을</w:t>
      </w:r>
      <w:r w:rsidR="00A10F66">
        <w:t xml:space="preserve"> </w:t>
      </w:r>
      <w:r w:rsidR="00A10F66">
        <w:rPr>
          <w:rFonts w:hint="eastAsia"/>
        </w:rPr>
        <w:t>마무리합니다.</w:t>
      </w:r>
    </w:p>
    <w:p w14:paraId="08C42B60" w14:textId="77777777" w:rsidR="00534F56" w:rsidRPr="00DB62E6" w:rsidRDefault="00534F56" w:rsidP="00DB62E6"/>
    <w:p w14:paraId="43DD50A9" w14:textId="48CA7929" w:rsidR="00534F56" w:rsidRPr="00C240DF" w:rsidRDefault="00534F56" w:rsidP="003576F4">
      <w:pPr>
        <w:jc w:val="right"/>
      </w:pPr>
      <w:r w:rsidRPr="00DB62E6">
        <w:rPr>
          <w:b/>
        </w:rPr>
        <w:t>202</w:t>
      </w:r>
      <w:r w:rsidR="007C1A90">
        <w:rPr>
          <w:b/>
        </w:rPr>
        <w:t>5</w:t>
      </w:r>
      <w:r w:rsidRPr="00DB62E6">
        <w:rPr>
          <w:b/>
        </w:rPr>
        <w:t>년 1월</w:t>
      </w:r>
      <w:r w:rsidR="003576F4">
        <w:rPr>
          <w:rFonts w:hint="eastAsia"/>
          <w:b/>
        </w:rPr>
        <w:t xml:space="preserve"> </w:t>
      </w:r>
      <w:r w:rsidRPr="00DB62E6">
        <w:rPr>
          <w:rFonts w:hint="eastAsia"/>
          <w:b/>
        </w:rPr>
        <w:t>대한당뇨병학회</w:t>
      </w:r>
    </w:p>
    <w:p w14:paraId="1C6C3FA2" w14:textId="77777777" w:rsidR="00DB62E6" w:rsidRDefault="00DB62E6" w:rsidP="00DB62E6">
      <w:pPr>
        <w:rPr>
          <w:b/>
        </w:rPr>
      </w:pPr>
    </w:p>
    <w:p w14:paraId="7FD1F454" w14:textId="77777777" w:rsidR="00954109" w:rsidRPr="003576F4" w:rsidRDefault="00954109" w:rsidP="00DB62E6">
      <w:pPr>
        <w:rPr>
          <w:b/>
          <w:sz w:val="22"/>
          <w:szCs w:val="24"/>
        </w:rPr>
      </w:pPr>
      <w:r w:rsidRPr="003576F4">
        <w:rPr>
          <w:rFonts w:hint="eastAsia"/>
          <w:b/>
          <w:sz w:val="22"/>
          <w:szCs w:val="24"/>
        </w:rPr>
        <w:lastRenderedPageBreak/>
        <w:t>참고 문헌</w:t>
      </w:r>
    </w:p>
    <w:p w14:paraId="3497297C" w14:textId="77777777" w:rsidR="00954109" w:rsidRPr="00954109" w:rsidRDefault="00954109" w:rsidP="00954109">
      <w:pPr>
        <w:pStyle w:val="a3"/>
        <w:numPr>
          <w:ilvl w:val="0"/>
          <w:numId w:val="4"/>
        </w:numPr>
        <w:ind w:leftChars="0"/>
      </w:pPr>
      <w:r w:rsidRPr="00954109">
        <w:t>Sodium-Glucose Cotransporter-2 Inhibitor for Renal Function Preservation in Patients with Type 2 Diabetes Mellitus: A Korean Diabetes Association and Korean Society of Nephrology Consensus Statement</w:t>
      </w:r>
      <w:r>
        <w:t xml:space="preserve"> </w:t>
      </w:r>
      <w:r w:rsidRPr="00954109">
        <w:t xml:space="preserve">Diabetes </w:t>
      </w:r>
      <w:proofErr w:type="spellStart"/>
      <w:r w:rsidRPr="00954109">
        <w:t>Metab</w:t>
      </w:r>
      <w:proofErr w:type="spellEnd"/>
      <w:r w:rsidRPr="00954109">
        <w:t xml:space="preserve"> J 2020;</w:t>
      </w:r>
      <w:r w:rsidR="00FA5970">
        <w:t xml:space="preserve"> </w:t>
      </w:r>
      <w:r w:rsidRPr="00954109">
        <w:t>44:489-497</w:t>
      </w:r>
    </w:p>
    <w:p w14:paraId="261F5456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>
        <w:t xml:space="preserve">Age- and sex-specific risk of urogenital infections in patients with type 2 diabetes treated with sodium-glucose co-transporter 2 inhibitors: A population-based self-controlled case-series study. </w:t>
      </w:r>
      <w:proofErr w:type="spellStart"/>
      <w:r w:rsidR="00954109" w:rsidRPr="00954109">
        <w:t>Maturitas</w:t>
      </w:r>
      <w:proofErr w:type="spellEnd"/>
      <w:r w:rsidR="00954109" w:rsidRPr="00954109">
        <w:t xml:space="preserve"> 2021;</w:t>
      </w:r>
      <w:r w:rsidR="00FA5970">
        <w:t xml:space="preserve"> </w:t>
      </w:r>
      <w:r w:rsidR="00954109" w:rsidRPr="00954109">
        <w:t>150</w:t>
      </w:r>
      <w:r>
        <w:t>:</w:t>
      </w:r>
      <w:r w:rsidR="00954109" w:rsidRPr="00954109">
        <w:t>30-36</w:t>
      </w:r>
    </w:p>
    <w:p w14:paraId="1AF33C5D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t xml:space="preserve">Fournier Gangrene Associated </w:t>
      </w:r>
      <w:r w:rsidR="00FA5970">
        <w:t>w</w:t>
      </w:r>
      <w:r w:rsidRPr="003A60C3">
        <w:t xml:space="preserve">ith Sodium-Glucose Cotransporter-2 Inhibitors: A Review of Spontaneous </w:t>
      </w:r>
      <w:proofErr w:type="spellStart"/>
      <w:r w:rsidRPr="003A60C3">
        <w:t>Postmarketing</w:t>
      </w:r>
      <w:proofErr w:type="spellEnd"/>
      <w:r w:rsidRPr="003A60C3">
        <w:t xml:space="preserve"> Cases</w:t>
      </w:r>
      <w:r>
        <w:t xml:space="preserve">. </w:t>
      </w:r>
      <w:r w:rsidR="00954109" w:rsidRPr="00954109">
        <w:t>Ann Intern Med 2019;</w:t>
      </w:r>
      <w:r w:rsidR="00FA5970">
        <w:t xml:space="preserve"> </w:t>
      </w:r>
      <w:r w:rsidR="00954109" w:rsidRPr="00954109">
        <w:t>170:764-769</w:t>
      </w:r>
    </w:p>
    <w:p w14:paraId="005F7C74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t>UK Kidney Association Clinical Practice Guideline: Sodium-Glucose Co-transporter-2 (SGLT-2) Inhibition in Adults with Kidney Disease 2023 UPDATE</w:t>
      </w:r>
      <w:r>
        <w:t xml:space="preserve">. </w:t>
      </w:r>
      <w:r w:rsidR="00954109" w:rsidRPr="00954109">
        <w:t>BMC Nephrology 2023;</w:t>
      </w:r>
      <w:r w:rsidRPr="003A60C3">
        <w:t>2</w:t>
      </w:r>
      <w:r>
        <w:t>5(24)</w:t>
      </w:r>
      <w:r w:rsidRPr="003A60C3">
        <w:t>:310.</w:t>
      </w:r>
    </w:p>
    <w:p w14:paraId="6A361840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t>Practical considerations for the use of SGLT-2 inhibitors in the Asia-Pacific countries-An expert consensus statement</w:t>
      </w:r>
      <w:r>
        <w:t xml:space="preserve">. </w:t>
      </w:r>
      <w:r w:rsidR="00954109" w:rsidRPr="00954109">
        <w:t>Nephrology 2023;28(8):415-424</w:t>
      </w:r>
    </w:p>
    <w:p w14:paraId="384D2C3D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rPr>
          <w:iCs/>
        </w:rPr>
        <w:t>Efficacy and Safety of Canagliflozin in Individuals Aged 75 and Older with Type 2 Diabetes Mellitus: A Pooled Analysis</w:t>
      </w:r>
      <w:r>
        <w:rPr>
          <w:iCs/>
        </w:rPr>
        <w:t xml:space="preserve">. </w:t>
      </w:r>
      <w:r w:rsidR="00954109" w:rsidRPr="003A60C3">
        <w:rPr>
          <w:iCs/>
        </w:rPr>
        <w:t xml:space="preserve">Am </w:t>
      </w:r>
      <w:proofErr w:type="spellStart"/>
      <w:r w:rsidR="00954109" w:rsidRPr="003A60C3">
        <w:rPr>
          <w:iCs/>
        </w:rPr>
        <w:t>Geriatr</w:t>
      </w:r>
      <w:proofErr w:type="spellEnd"/>
      <w:r w:rsidR="00954109" w:rsidRPr="003A60C3">
        <w:rPr>
          <w:iCs/>
        </w:rPr>
        <w:t xml:space="preserve"> Soc 2016;64</w:t>
      </w:r>
      <w:r w:rsidRPr="003A60C3">
        <w:rPr>
          <w:iCs/>
        </w:rPr>
        <w:t>(3)</w:t>
      </w:r>
      <w:r w:rsidR="00954109" w:rsidRPr="003A60C3">
        <w:rPr>
          <w:iCs/>
        </w:rPr>
        <w:t>:543-52.</w:t>
      </w:r>
    </w:p>
    <w:p w14:paraId="03A6F1FC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t>Pooled Safety and Tolerability Analysis of Empagliflozin in Patients with Type 2 Diabetes Mellitus</w:t>
      </w:r>
      <w:r>
        <w:t xml:space="preserve">. </w:t>
      </w:r>
      <w:r w:rsidR="00954109" w:rsidRPr="00954109">
        <w:t>Adv Ther 2020;</w:t>
      </w:r>
      <w:r w:rsidRPr="003A60C3">
        <w:t>37(8):3463-3484.</w:t>
      </w:r>
    </w:p>
    <w:p w14:paraId="369E1183" w14:textId="77777777" w:rsidR="00954109" w:rsidRPr="00954109" w:rsidRDefault="003A60C3" w:rsidP="003A60C3">
      <w:pPr>
        <w:pStyle w:val="a3"/>
        <w:numPr>
          <w:ilvl w:val="0"/>
          <w:numId w:val="4"/>
        </w:numPr>
        <w:ind w:leftChars="0"/>
      </w:pPr>
      <w:r w:rsidRPr="003A60C3">
        <w:rPr>
          <w:iCs/>
          <w:lang w:val="pt-BR"/>
        </w:rPr>
        <w:t>Ketoacidosis associated with SGLT2 inhibitor treatment: Analysis of FAERS data</w:t>
      </w:r>
      <w:r>
        <w:rPr>
          <w:iCs/>
          <w:lang w:val="pt-BR"/>
        </w:rPr>
        <w:t xml:space="preserve">. </w:t>
      </w:r>
      <w:r w:rsidR="00954109" w:rsidRPr="003A60C3">
        <w:rPr>
          <w:iCs/>
          <w:lang w:val="pt-BR"/>
        </w:rPr>
        <w:t>Diabetes Metab Res Rev. 2017;33:e2924.</w:t>
      </w:r>
    </w:p>
    <w:p w14:paraId="69129492" w14:textId="77777777" w:rsidR="00954109" w:rsidRDefault="00534F56" w:rsidP="003A60C3">
      <w:pPr>
        <w:pStyle w:val="a3"/>
        <w:numPr>
          <w:ilvl w:val="0"/>
          <w:numId w:val="4"/>
        </w:numPr>
        <w:ind w:leftChars="0"/>
      </w:pPr>
      <w:r w:rsidRPr="00534F56">
        <w:t>Clinical characteristics of diabetic ketoacidosis in users and non-users of SGLT2 inhibitors</w:t>
      </w:r>
      <w:r>
        <w:t xml:space="preserve">. </w:t>
      </w:r>
      <w:r w:rsidR="003A60C3">
        <w:t xml:space="preserve">Diabetes </w:t>
      </w:r>
      <w:proofErr w:type="spellStart"/>
      <w:r w:rsidR="003A60C3">
        <w:t>Metab</w:t>
      </w:r>
      <w:proofErr w:type="spellEnd"/>
      <w:r w:rsidR="003A60C3">
        <w:t xml:space="preserve"> 2019;45(5):453-457</w:t>
      </w:r>
    </w:p>
    <w:p w14:paraId="08DA97E8" w14:textId="77777777" w:rsidR="00534F56" w:rsidRDefault="00FA5970" w:rsidP="00FA5970">
      <w:pPr>
        <w:pStyle w:val="a3"/>
        <w:numPr>
          <w:ilvl w:val="0"/>
          <w:numId w:val="4"/>
        </w:numPr>
        <w:ind w:leftChars="0"/>
      </w:pPr>
      <w:r w:rsidRPr="00FA5970">
        <w:t>Short-term impacts of sodium/glucose co-transporter 2 inhibitors in Japanese clinical practice: considerations for their appropriate use to avoid serious adverse events</w:t>
      </w:r>
      <w:r>
        <w:t xml:space="preserve">. </w:t>
      </w:r>
      <w:r w:rsidRPr="00FA5970">
        <w:t xml:space="preserve">Expert </w:t>
      </w:r>
      <w:proofErr w:type="spellStart"/>
      <w:r w:rsidRPr="00FA5970">
        <w:t>Opin</w:t>
      </w:r>
      <w:proofErr w:type="spellEnd"/>
      <w:r w:rsidRPr="00FA5970">
        <w:t xml:space="preserve"> Drug Saf 2015;14(6):795~800</w:t>
      </w:r>
      <w:r>
        <w:t>.</w:t>
      </w:r>
    </w:p>
    <w:p w14:paraId="45026437" w14:textId="77777777" w:rsidR="00FA5970" w:rsidRDefault="00FA5970" w:rsidP="00FA5970">
      <w:pPr>
        <w:pStyle w:val="a3"/>
        <w:numPr>
          <w:ilvl w:val="0"/>
          <w:numId w:val="4"/>
        </w:numPr>
        <w:ind w:leftChars="0"/>
      </w:pPr>
      <w:r w:rsidRPr="00FA5970">
        <w:t>Sodium-glucose cotransporter 2 inhibitor and sarcopenia in a lean elderly adult with type 2 diabetes: A case report</w:t>
      </w:r>
      <w:r>
        <w:t xml:space="preserve">. </w:t>
      </w:r>
      <w:r w:rsidRPr="00FA5970">
        <w:t xml:space="preserve">J Diabetes </w:t>
      </w:r>
      <w:proofErr w:type="spellStart"/>
      <w:r w:rsidRPr="00FA5970">
        <w:t>Investig</w:t>
      </w:r>
      <w:proofErr w:type="spellEnd"/>
      <w:r w:rsidRPr="00FA5970">
        <w:t xml:space="preserve"> 2020;11(3):745~747</w:t>
      </w:r>
      <w:r>
        <w:t>.</w:t>
      </w:r>
    </w:p>
    <w:p w14:paraId="07CB7005" w14:textId="77777777" w:rsidR="00FA5970" w:rsidRDefault="00FA5970" w:rsidP="00FA5970">
      <w:pPr>
        <w:pStyle w:val="a3"/>
        <w:numPr>
          <w:ilvl w:val="0"/>
          <w:numId w:val="4"/>
        </w:numPr>
        <w:ind w:leftChars="0"/>
      </w:pPr>
      <w:r w:rsidRPr="00FA5970">
        <w:t>Effect of SGLT-2 inhibitors on body composition in patients with type 2 diabetes mellitus: A meta-analysis of randomized controlled trials</w:t>
      </w:r>
      <w:r>
        <w:t xml:space="preserve">. </w:t>
      </w:r>
      <w:proofErr w:type="spellStart"/>
      <w:r w:rsidRPr="00FA5970">
        <w:t>PLoS</w:t>
      </w:r>
      <w:proofErr w:type="spellEnd"/>
      <w:r w:rsidRPr="00FA5970">
        <w:t xml:space="preserve"> One 2022;17(12):</w:t>
      </w:r>
      <w:r>
        <w:t xml:space="preserve"> </w:t>
      </w:r>
      <w:r w:rsidRPr="00FA5970">
        <w:t>e0279889</w:t>
      </w:r>
      <w:r>
        <w:t>.</w:t>
      </w:r>
    </w:p>
    <w:p w14:paraId="229521B9" w14:textId="77777777" w:rsidR="00954109" w:rsidRPr="00C240DF" w:rsidRDefault="00FA5970" w:rsidP="00C240DF">
      <w:pPr>
        <w:pStyle w:val="a3"/>
        <w:numPr>
          <w:ilvl w:val="0"/>
          <w:numId w:val="4"/>
        </w:numPr>
        <w:ind w:leftChars="0"/>
      </w:pPr>
      <w:r w:rsidRPr="00FA5970">
        <w:t>Effect of sodium-glucose transporter 2 inhibitors on sarcopenia in patients with type 2 diabetes mellitus: a systematic review and meta-analysis</w:t>
      </w:r>
      <w:r>
        <w:t>.</w:t>
      </w:r>
      <w:r w:rsidRPr="00FA5970">
        <w:t xml:space="preserve"> Front Endocrinol (Lausanne) </w:t>
      </w:r>
      <w:r w:rsidRPr="00FA5970">
        <w:lastRenderedPageBreak/>
        <w:t>2023;14:</w:t>
      </w:r>
      <w:r>
        <w:t xml:space="preserve"> </w:t>
      </w:r>
      <w:r w:rsidRPr="00FA5970">
        <w:t>1203666</w:t>
      </w:r>
      <w:r>
        <w:t xml:space="preserve">. </w:t>
      </w:r>
    </w:p>
    <w:sectPr w:rsidR="00954109" w:rsidRPr="00C24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8C11F" w14:textId="77777777" w:rsidR="0014101F" w:rsidRDefault="0014101F" w:rsidP="00357619">
      <w:pPr>
        <w:spacing w:after="0" w:line="240" w:lineRule="auto"/>
      </w:pPr>
      <w:r>
        <w:separator/>
      </w:r>
    </w:p>
  </w:endnote>
  <w:endnote w:type="continuationSeparator" w:id="0">
    <w:p w14:paraId="51F3009A" w14:textId="77777777" w:rsidR="0014101F" w:rsidRDefault="0014101F" w:rsidP="0035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55D2" w14:textId="77777777" w:rsidR="003576F4" w:rsidRDefault="003576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BCA4" w14:textId="77777777" w:rsidR="003576F4" w:rsidRDefault="003576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86A" w14:textId="77777777" w:rsidR="003576F4" w:rsidRDefault="003576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4B5B" w14:textId="77777777" w:rsidR="0014101F" w:rsidRDefault="0014101F" w:rsidP="00357619">
      <w:pPr>
        <w:spacing w:after="0" w:line="240" w:lineRule="auto"/>
      </w:pPr>
      <w:r>
        <w:separator/>
      </w:r>
    </w:p>
  </w:footnote>
  <w:footnote w:type="continuationSeparator" w:id="0">
    <w:p w14:paraId="5EB96F0F" w14:textId="77777777" w:rsidR="0014101F" w:rsidRDefault="0014101F" w:rsidP="0035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783A" w14:textId="77777777" w:rsidR="003576F4" w:rsidRDefault="003576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E9C6" w14:textId="3B887497" w:rsidR="003576F4" w:rsidRDefault="003576F4">
    <w:pPr>
      <w:pStyle w:val="a4"/>
    </w:pPr>
    <w:r>
      <w:rPr>
        <w:noProof/>
      </w:rPr>
      <w:drawing>
        <wp:inline distT="0" distB="0" distL="0" distR="0" wp14:anchorId="7CED939A" wp14:editId="4144777A">
          <wp:extent cx="1317625" cy="485192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854" cy="524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8290" w14:textId="77777777" w:rsidR="003576F4" w:rsidRDefault="003576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10DC1"/>
    <w:multiLevelType w:val="hybridMultilevel"/>
    <w:tmpl w:val="B2DC3482"/>
    <w:lvl w:ilvl="0" w:tplc="DBE09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2B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0E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64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65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23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7D7548"/>
    <w:multiLevelType w:val="hybridMultilevel"/>
    <w:tmpl w:val="68FAC04E"/>
    <w:lvl w:ilvl="0" w:tplc="608A19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F43A1F"/>
    <w:multiLevelType w:val="hybridMultilevel"/>
    <w:tmpl w:val="F5962306"/>
    <w:lvl w:ilvl="0" w:tplc="12522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C9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01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2A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837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0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01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814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C0C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A5C0A"/>
    <w:multiLevelType w:val="hybridMultilevel"/>
    <w:tmpl w:val="02D400EC"/>
    <w:lvl w:ilvl="0" w:tplc="5E44E8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69885044">
    <w:abstractNumId w:val="1"/>
  </w:num>
  <w:num w:numId="2" w16cid:durableId="1005405757">
    <w:abstractNumId w:val="2"/>
  </w:num>
  <w:num w:numId="3" w16cid:durableId="1155224756">
    <w:abstractNumId w:val="0"/>
  </w:num>
  <w:num w:numId="4" w16cid:durableId="11221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95"/>
    <w:rsid w:val="0014101F"/>
    <w:rsid w:val="00246B95"/>
    <w:rsid w:val="002C7453"/>
    <w:rsid w:val="00333C84"/>
    <w:rsid w:val="00357619"/>
    <w:rsid w:val="003576F4"/>
    <w:rsid w:val="00392EE6"/>
    <w:rsid w:val="003A60C3"/>
    <w:rsid w:val="003E3C8B"/>
    <w:rsid w:val="004A2BF4"/>
    <w:rsid w:val="004A6137"/>
    <w:rsid w:val="004C4802"/>
    <w:rsid w:val="004E2ED1"/>
    <w:rsid w:val="00534F56"/>
    <w:rsid w:val="005A3B6F"/>
    <w:rsid w:val="00687607"/>
    <w:rsid w:val="006949E0"/>
    <w:rsid w:val="006952D3"/>
    <w:rsid w:val="00782438"/>
    <w:rsid w:val="007C1A90"/>
    <w:rsid w:val="00870319"/>
    <w:rsid w:val="008A410C"/>
    <w:rsid w:val="00954109"/>
    <w:rsid w:val="009744F5"/>
    <w:rsid w:val="00A10F66"/>
    <w:rsid w:val="00A231F2"/>
    <w:rsid w:val="00A72678"/>
    <w:rsid w:val="00A83DF0"/>
    <w:rsid w:val="00A97698"/>
    <w:rsid w:val="00AB350C"/>
    <w:rsid w:val="00B33324"/>
    <w:rsid w:val="00B91D0E"/>
    <w:rsid w:val="00BB1E70"/>
    <w:rsid w:val="00C16A70"/>
    <w:rsid w:val="00C240DF"/>
    <w:rsid w:val="00C30A0E"/>
    <w:rsid w:val="00CA0BB5"/>
    <w:rsid w:val="00D31FF5"/>
    <w:rsid w:val="00D83D7C"/>
    <w:rsid w:val="00DB62E6"/>
    <w:rsid w:val="00DC0CA1"/>
    <w:rsid w:val="00DC6093"/>
    <w:rsid w:val="00F21577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BE288"/>
  <w15:chartTrackingRefBased/>
  <w15:docId w15:val="{B9C6C8A4-4581-4F0C-84DA-157D9EC4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0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576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57619"/>
  </w:style>
  <w:style w:type="paragraph" w:styleId="a5">
    <w:name w:val="footer"/>
    <w:basedOn w:val="a"/>
    <w:link w:val="Char0"/>
    <w:uiPriority w:val="99"/>
    <w:unhideWhenUsed/>
    <w:rsid w:val="003576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57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당뇨병학회 대한</cp:lastModifiedBy>
  <cp:revision>8</cp:revision>
  <dcterms:created xsi:type="dcterms:W3CDTF">2024-12-22T09:24:00Z</dcterms:created>
  <dcterms:modified xsi:type="dcterms:W3CDTF">2025-01-07T01:33:00Z</dcterms:modified>
</cp:coreProperties>
</file>